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B08" w14:textId="61FAEE1A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Beispiel</w:t>
      </w:r>
      <w:r w:rsidR="00B407C5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 xml:space="preserve"> </w:t>
      </w: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Übertragungsbesch</w:t>
      </w:r>
      <w: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l</w:t>
      </w: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uss von Aufgaben an den Betriebsausschuss</w:t>
      </w:r>
    </w:p>
    <w:p w14:paraId="03D18ECB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Personelle Angelegenheiten</w:t>
      </w:r>
    </w:p>
    <w:p w14:paraId="195FADA9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695D8D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die Beschlussfähigkeit des Betriebsrats fest.</w:t>
      </w:r>
    </w:p>
    <w:p w14:paraId="3DAB81D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7A1B264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folgenden Antrag zur Abstimmung:</w:t>
      </w:r>
    </w:p>
    <w:p w14:paraId="1145AA3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89F5ABE" w14:textId="77777777" w:rsidR="005B3292" w:rsidRPr="00D62743" w:rsidRDefault="005B3292" w:rsidP="005B3292">
      <w:pPr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i/>
          <w:iCs/>
          <w:sz w:val="24"/>
          <w:lang w:eastAsia="en-US"/>
        </w:rPr>
        <w:t>Der Betriebsausschuss übernimmt mit sofortiger Wirkung die Mitbestimmungsrechte aus den §§ 99, 100 BetrVG. Damit hat der Betriebsausschuss das Recht, für den Betriebsrat die Mitbestimmungs-, Beratungs- und Anhörungsrechte bei personellen Einzelmaßnahmen, wie Einstellungen, Ein- und Umgruppierungen und Versetzungen, wahrzunehmen. Dazu gehören auch die Rechte des Betriebsrats bei vorläufigen personellen Einzelmaßnahmen des Arbeitgebers.</w:t>
      </w:r>
    </w:p>
    <w:p w14:paraId="5468FA4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A57163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Abstimmung: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Ja: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Nein: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Enthaltung: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53F8BFF0" w14:textId="77777777" w:rsidR="00105DE2" w:rsidRDefault="00105DE2"/>
    <w:sectPr w:rsidR="00105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B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2022-04-04T09:44:00Z</dcterms:created>
  <dcterms:modified xsi:type="dcterms:W3CDTF">2022-04-04T09:44:00Z</dcterms:modified>
</cp:coreProperties>
</file>